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EC4B0" w14:textId="77777777" w:rsidR="00700604" w:rsidRPr="00700604" w:rsidRDefault="00700604" w:rsidP="00700604">
      <w:pPr>
        <w:widowControl w:val="0"/>
        <w:autoSpaceDE w:val="0"/>
        <w:autoSpaceDN w:val="0"/>
        <w:adjustRightInd w:val="0"/>
        <w:spacing w:after="240"/>
        <w:rPr>
          <w:rFonts w:ascii="Times New Roman" w:hAnsi="Times New Roman" w:cs="Times New Roman"/>
        </w:rPr>
      </w:pPr>
      <w:r w:rsidRPr="00700604">
        <w:rPr>
          <w:rFonts w:ascii="Times New Roman" w:hAnsi="Times New Roman" w:cs="Times New Roman"/>
          <w:bCs/>
        </w:rPr>
        <w:t xml:space="preserve">Bruce N. Fisk, “Eating Meat Offered to Idols: Corinthian Behavior and Pauline Response in 1 Corinthians 8–10” </w:t>
      </w:r>
      <w:r w:rsidRPr="00700604">
        <w:rPr>
          <w:rFonts w:ascii="Times New Roman" w:hAnsi="Times New Roman" w:cs="Times New Roman"/>
          <w:bCs/>
          <w:i/>
          <w:iCs/>
        </w:rPr>
        <w:t>Trin</w:t>
      </w:r>
      <w:r w:rsidRPr="00700604">
        <w:rPr>
          <w:rFonts w:ascii="Times New Roman" w:hAnsi="Times New Roman" w:cs="Times New Roman"/>
          <w:bCs/>
          <w:i/>
          <w:iCs/>
        </w:rPr>
        <w:t xml:space="preserve">] </w:t>
      </w:r>
      <w:r w:rsidRPr="00700604">
        <w:rPr>
          <w:rFonts w:ascii="Times New Roman" w:hAnsi="Times New Roman" w:cs="Times New Roman"/>
          <w:bCs/>
          <w:iCs/>
        </w:rPr>
        <w:t>10 NS (1989)</w:t>
      </w:r>
      <w:r w:rsidRPr="00700604">
        <w:rPr>
          <w:rFonts w:ascii="Times New Roman" w:hAnsi="Times New Roman" w:cs="Times New Roman"/>
          <w:bCs/>
          <w:iCs/>
        </w:rPr>
        <w:t>: 49–</w:t>
      </w:r>
      <w:r w:rsidRPr="00700604">
        <w:rPr>
          <w:rFonts w:ascii="Times New Roman" w:hAnsi="Times New Roman" w:cs="Times New Roman"/>
          <w:bCs/>
          <w:iCs/>
        </w:rPr>
        <w:t>70</w:t>
      </w:r>
      <w:r w:rsidRPr="00700604">
        <w:rPr>
          <w:rFonts w:ascii="Times New Roman" w:hAnsi="Times New Roman" w:cs="Times New Roman"/>
        </w:rPr>
        <w:t>.</w:t>
      </w:r>
    </w:p>
    <w:p w14:paraId="5F7C6861" w14:textId="77777777" w:rsidR="00700604" w:rsidRDefault="00700604"/>
    <w:p w14:paraId="42BD4647" w14:textId="08A16A04" w:rsidR="00C7145C" w:rsidRPr="00D02F38" w:rsidRDefault="00700604" w:rsidP="00D02F38">
      <w:pPr>
        <w:pStyle w:val="ListParagraph"/>
        <w:widowControl w:val="0"/>
        <w:numPr>
          <w:ilvl w:val="0"/>
          <w:numId w:val="1"/>
        </w:numPr>
        <w:autoSpaceDE w:val="0"/>
        <w:autoSpaceDN w:val="0"/>
        <w:adjustRightInd w:val="0"/>
        <w:spacing w:after="240"/>
        <w:rPr>
          <w:rFonts w:ascii="Arial" w:hAnsi="Arial" w:cs="Arial"/>
        </w:rPr>
      </w:pPr>
      <w:r w:rsidRPr="00700604">
        <w:rPr>
          <w:rFonts w:ascii="Arial" w:hAnsi="Arial" w:cs="Arial"/>
        </w:rPr>
        <w:t xml:space="preserve">Fisk attends to Fee’s arguments within 1 Corinthians and rightly shows that the translation of </w:t>
      </w:r>
      <w:r w:rsidRPr="00700604">
        <w:rPr>
          <w:rFonts w:ascii="Arial" w:hAnsi="Arial" w:cs="Arial"/>
          <w:bCs/>
          <w:i/>
          <w:iCs/>
          <w:szCs w:val="30"/>
        </w:rPr>
        <w:t xml:space="preserve">Είδωλόθυτο </w:t>
      </w:r>
      <w:r w:rsidRPr="00700604">
        <w:rPr>
          <w:rFonts w:ascii="Arial" w:hAnsi="Arial" w:cs="Arial"/>
          <w:bCs/>
          <w:iCs/>
          <w:szCs w:val="30"/>
        </w:rPr>
        <w:t>as “meat eaten in the idol’s temple” is too narrow.</w:t>
      </w:r>
      <w:r>
        <w:rPr>
          <w:rFonts w:ascii="Arial" w:hAnsi="Arial" w:cs="Arial"/>
          <w:bCs/>
          <w:iCs/>
          <w:szCs w:val="30"/>
        </w:rPr>
        <w:t xml:space="preserve"> From other uses (Acts 15:29; 21:25; Rev 2:14, 20) and its uses in 1 Corinthians, the wider meaning “meat sacrificed to idols is better.” However, comparison with Revelation 2 shows the term can address Christians</w:t>
      </w:r>
      <w:r w:rsidR="00927995">
        <w:rPr>
          <w:rFonts w:ascii="Arial" w:hAnsi="Arial" w:cs="Arial"/>
          <w:bCs/>
          <w:iCs/>
          <w:szCs w:val="30"/>
        </w:rPr>
        <w:t>, or at least churches where idolatry is a concern</w:t>
      </w:r>
      <w:r>
        <w:rPr>
          <w:rFonts w:ascii="Arial" w:hAnsi="Arial" w:cs="Arial"/>
          <w:bCs/>
          <w:iCs/>
          <w:szCs w:val="30"/>
        </w:rPr>
        <w:t>. Fisk believes Fee is too harsh when he “presupposes relatively widespread idolatry among the Christians in Corinth.” He sees this a “serious” and “at worst, spiritually disqualifying” charge</w:t>
      </w:r>
      <w:r w:rsidR="00C7145C">
        <w:rPr>
          <w:rFonts w:ascii="Arial" w:hAnsi="Arial" w:cs="Arial"/>
          <w:bCs/>
          <w:iCs/>
          <w:szCs w:val="30"/>
        </w:rPr>
        <w:t xml:space="preserve"> (54)</w:t>
      </w:r>
      <w:r>
        <w:rPr>
          <w:rFonts w:ascii="Arial" w:hAnsi="Arial" w:cs="Arial"/>
          <w:bCs/>
          <w:iCs/>
          <w:szCs w:val="30"/>
        </w:rPr>
        <w:t>. I disagree. That it is a serious charge is certain, but if the Corinthians are immature</w:t>
      </w:r>
      <w:r w:rsidR="00C7145C">
        <w:rPr>
          <w:rFonts w:ascii="Arial" w:hAnsi="Arial" w:cs="Arial"/>
          <w:bCs/>
          <w:iCs/>
          <w:szCs w:val="30"/>
        </w:rPr>
        <w:t xml:space="preserve"> (cf. 3:1–3)</w:t>
      </w:r>
      <w:r>
        <w:rPr>
          <w:rFonts w:ascii="Arial" w:hAnsi="Arial" w:cs="Arial"/>
          <w:bCs/>
          <w:iCs/>
          <w:szCs w:val="30"/>
        </w:rPr>
        <w:t xml:space="preserve">, it should not surprise us that foolish, arrogant, immature Christians are participating in activities they shouldn’t. </w:t>
      </w:r>
      <w:r w:rsidR="00C7145C">
        <w:rPr>
          <w:rFonts w:ascii="Arial" w:hAnsi="Arial" w:cs="Arial"/>
          <w:bCs/>
          <w:iCs/>
          <w:szCs w:val="30"/>
        </w:rPr>
        <w:t>Yes, it is serious; hence Paul’s warning in 8:12. But it is not unlikely that the Corinthians were pushing the envelope of idolatry as they ate meat in the precincts of the temple.</w:t>
      </w:r>
    </w:p>
    <w:p w14:paraId="723DE0FD" w14:textId="77777777" w:rsidR="00C7145C" w:rsidRDefault="00C7145C" w:rsidP="00C7145C"/>
    <w:p w14:paraId="4AED49E3" w14:textId="77777777" w:rsidR="00700604" w:rsidRDefault="00D02F38" w:rsidP="00700604">
      <w:pPr>
        <w:pStyle w:val="ListParagraph"/>
        <w:numPr>
          <w:ilvl w:val="0"/>
          <w:numId w:val="1"/>
        </w:numPr>
      </w:pPr>
      <w:r>
        <w:t xml:space="preserve">Fisk </w:t>
      </w:r>
      <w:r w:rsidR="00700604">
        <w:t>makes an important point that the only sin in 1 Corinthians 8 pertains to sin against a brother</w:t>
      </w:r>
      <w:r>
        <w:t xml:space="preserve"> (61)</w:t>
      </w:r>
      <w:r w:rsidR="00700604">
        <w:t>.</w:t>
      </w:r>
      <w:r w:rsidR="00C7145C">
        <w:t xml:space="preserve"> He is convincing that 1 Corinthians 8 is a general statement about meat sacrificed to idols. Perhaps it is best to see 1 Corinthians 8 as speaking of meat sacrificed to idols in general and 1 Corinthians 10 as a delineating various ways that could happen—participating in meals with idol worshipers </w:t>
      </w:r>
      <w:r w:rsidR="00C7145C">
        <w:rPr>
          <w:i/>
        </w:rPr>
        <w:t xml:space="preserve">where the fellowship implies communion </w:t>
      </w:r>
      <w:r w:rsidR="00C7145C">
        <w:t xml:space="preserve">(10:18 – 22), buying meat in the market (10:25 – 26), and dining at the home of a pagan friend (10:27 – 28). </w:t>
      </w:r>
    </w:p>
    <w:p w14:paraId="0C386C99" w14:textId="77777777" w:rsidR="00700604" w:rsidRDefault="00700604" w:rsidP="00700604">
      <w:pPr>
        <w:pStyle w:val="ListParagraph"/>
      </w:pPr>
    </w:p>
    <w:p w14:paraId="6BAAE8F8" w14:textId="77777777" w:rsidR="00466959" w:rsidRDefault="00466959" w:rsidP="00063E6F">
      <w:pPr>
        <w:pStyle w:val="ListParagraph"/>
        <w:numPr>
          <w:ilvl w:val="0"/>
          <w:numId w:val="1"/>
        </w:numPr>
      </w:pPr>
      <w:r>
        <w:t>Following Willis</w:t>
      </w:r>
      <w:r w:rsidR="00D02F38">
        <w:t xml:space="preserve"> (63)</w:t>
      </w:r>
      <w:r>
        <w:t xml:space="preserve">, Fisk shows how the possibilities for contact with meat sacrificed to idols were </w:t>
      </w:r>
      <w:r w:rsidR="001C0B59">
        <w:t xml:space="preserve">set on </w:t>
      </w:r>
      <w:r>
        <w:t xml:space="preserve">a “continuum” </w:t>
      </w:r>
      <w:r w:rsidR="001C0B59">
        <w:t>in Corinth. B</w:t>
      </w:r>
      <w:r>
        <w:t xml:space="preserve">ecause </w:t>
      </w:r>
      <w:r w:rsidR="00D02F38">
        <w:t>business and pleasure, commerce and politics all intertwined with the temple cult, it was impossible to have no dealings with meat sacrificed to idols. Therefore, it is impossible to understanding the situation as a black and white, in or out. It is much better to see that some who ate in the temple precincts participated in idolatry, but not all did. Some who ate their tempted their brothers to sin, but that does not entail that their eating was idolatrous (59). Indeed, the situation requires multiple layers of consideration.</w:t>
      </w:r>
    </w:p>
    <w:p w14:paraId="16B86590" w14:textId="77777777" w:rsidR="00D02F38" w:rsidRDefault="00D02F38" w:rsidP="00D02F38"/>
    <w:p w14:paraId="3B1CF558" w14:textId="77777777" w:rsidR="00164C53" w:rsidRDefault="00C7145C" w:rsidP="00700604">
      <w:pPr>
        <w:pStyle w:val="ListParagraph"/>
        <w:numPr>
          <w:ilvl w:val="0"/>
          <w:numId w:val="1"/>
        </w:numPr>
      </w:pPr>
      <w:r>
        <w:t xml:space="preserve">Fisk is convincing that the issue is less the location than the behavior. </w:t>
      </w:r>
      <w:r w:rsidR="00D02F38">
        <w:t xml:space="preserve">“Paul condemns not idol meat but idolatry” (63) and permits great flexibility with regards to eating. He argues further that the one who makes </w:t>
      </w:r>
      <w:r w:rsidR="00164C53">
        <w:t xml:space="preserve">known the background of the meat in 10:28 is the weaker brother (67). If this is so, then it adds gives more clarity (and more freedom) to the one who eats. Paul is saying you should withhold yourself from eating meat, if you are with a brother with a weaker conscience. However, this reinforces the fact that meat consumed in the temple precincts, so long as it is not consumed in participation with demon worship, is permissible. </w:t>
      </w:r>
    </w:p>
    <w:p w14:paraId="60FCF501" w14:textId="77777777" w:rsidR="00164C53" w:rsidRDefault="00164C53" w:rsidP="00164C53"/>
    <w:p w14:paraId="634FFE81" w14:textId="77777777" w:rsidR="00C7145C" w:rsidRDefault="00164C53" w:rsidP="00700604">
      <w:pPr>
        <w:pStyle w:val="ListParagraph"/>
        <w:numPr>
          <w:ilvl w:val="0"/>
          <w:numId w:val="1"/>
        </w:numPr>
      </w:pPr>
      <w:r>
        <w:lastRenderedPageBreak/>
        <w:t>At the same time, such knowledge should not lead a strong Christian to participate in feasting in the temple. His true meal is with God’s people. And thus he should be with them, and not seeking to eat apart from them, against them, or over them—for eating meat was also a status symbol. Thus, without commanding the Corinthians to not eat meat, he gives his own example (8:13), carried further in chapter 9, to spur them on towards love and good deeds—namely, intentional acts of love that would foster unity and not division. Might this mean “not eating meat” or “not eating in the temple”? Yes, and not because righteousness demanded it, but because love compelled them.</w:t>
      </w:r>
    </w:p>
    <w:p w14:paraId="0EE37E39" w14:textId="77777777" w:rsidR="00C7145C" w:rsidRDefault="00C7145C" w:rsidP="00C7145C"/>
    <w:p w14:paraId="486DFEA3" w14:textId="573F982A" w:rsidR="00700604" w:rsidRDefault="00C47C6B" w:rsidP="00700604">
      <w:pPr>
        <w:pStyle w:val="ListParagraph"/>
        <w:numPr>
          <w:ilvl w:val="0"/>
          <w:numId w:val="1"/>
        </w:numPr>
      </w:pPr>
      <w:r>
        <w:t>After reading Fisk, t</w:t>
      </w:r>
      <w:r w:rsidR="00700604">
        <w:t xml:space="preserve">he question remains as to the relationship of Romans 14 – 15 and 1 Corinthians 8 – 10. Principles </w:t>
      </w:r>
      <w:r w:rsidR="00C7145C">
        <w:t>are similar</w:t>
      </w:r>
      <w:r w:rsidR="00700604">
        <w:t xml:space="preserve"> but the situations are different</w:t>
      </w:r>
      <w:r w:rsidR="00C7145C">
        <w:t xml:space="preserve"> </w:t>
      </w:r>
      <w:r>
        <w:t xml:space="preserve">enough </w:t>
      </w:r>
      <w:r w:rsidR="00C7145C">
        <w:t>that the applications are not exactly overlapping</w:t>
      </w:r>
      <w:r w:rsidR="00700604">
        <w:t xml:space="preserve">. </w:t>
      </w:r>
      <w:r w:rsidR="00C7145C">
        <w:t xml:space="preserve">As to the situations: </w:t>
      </w:r>
      <w:r w:rsidR="00700604">
        <w:t>Romans is answering the question, “How do Jewish Christians get along with Gentile Christians?” First Corinthians is answering the question, “How do Christians get alone among Gentiles, when the latter worship idols which provides much of the food in Corinth?”</w:t>
      </w:r>
      <w:r w:rsidR="00C7145C">
        <w:t xml:space="preserve"> Therefore,</w:t>
      </w:r>
      <w:r>
        <w:t xml:space="preserve"> I take</w:t>
      </w:r>
      <w:r w:rsidR="00C7145C">
        <w:t xml:space="preserve"> Romans </w:t>
      </w:r>
      <w:r>
        <w:t>to be</w:t>
      </w:r>
      <w:r w:rsidR="00C7145C">
        <w:t xml:space="preserve"> dealing with unity among those who must defer to one another about food laws. In Corinth, a similar principle is employed, except there is a place for Corinthians to say to one another, “Don’t eat that meat if (1) you know it has been sacrificed to an idol or (2) by eating you are participating in an idolatrous meal. In </w:t>
      </w:r>
      <w:r>
        <w:t>the end</w:t>
      </w:r>
      <w:r w:rsidR="00C7145C">
        <w:t xml:space="preserve">, both engage the five-fold rubric of </w:t>
      </w:r>
      <w:r>
        <w:t>Niebuhr’s “</w:t>
      </w:r>
      <w:r w:rsidR="00C7145C">
        <w:t>Christ and Culture,</w:t>
      </w:r>
      <w:r>
        <w:t>”</w:t>
      </w:r>
      <w:r w:rsidR="00C7145C">
        <w:t xml:space="preserve"> but the Corinthian letter employs more “Christ against Culture.” </w:t>
      </w:r>
      <w:r>
        <w:t xml:space="preserve"> </w:t>
      </w:r>
      <w:bookmarkStart w:id="0" w:name="_GoBack"/>
      <w:bookmarkEnd w:id="0"/>
    </w:p>
    <w:p w14:paraId="3ECE9A51" w14:textId="77777777" w:rsidR="00700604" w:rsidRDefault="00700604" w:rsidP="00C7145C">
      <w:pPr>
        <w:pStyle w:val="ListParagraph"/>
      </w:pPr>
    </w:p>
    <w:sectPr w:rsidR="00700604" w:rsidSect="006F2E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F06F7A"/>
    <w:multiLevelType w:val="hybridMultilevel"/>
    <w:tmpl w:val="5C6CF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604"/>
    <w:rsid w:val="0003538C"/>
    <w:rsid w:val="000C762F"/>
    <w:rsid w:val="00164C53"/>
    <w:rsid w:val="001C0B59"/>
    <w:rsid w:val="00335770"/>
    <w:rsid w:val="00466959"/>
    <w:rsid w:val="006F2E92"/>
    <w:rsid w:val="00700604"/>
    <w:rsid w:val="00927995"/>
    <w:rsid w:val="00C47C6B"/>
    <w:rsid w:val="00C7145C"/>
    <w:rsid w:val="00D02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D42BC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704</Words>
  <Characters>4019</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dc:description/>
  <cp:lastModifiedBy>David Schrock</cp:lastModifiedBy>
  <cp:revision>2</cp:revision>
  <dcterms:created xsi:type="dcterms:W3CDTF">2016-08-09T02:50:00Z</dcterms:created>
  <dcterms:modified xsi:type="dcterms:W3CDTF">2016-08-09T13:48:00Z</dcterms:modified>
</cp:coreProperties>
</file>